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pageBreakBefore/>
        <w:ind w:left="357" w:right="11"/>
        <w:rPr>
          <w:color w:val="000000" w:themeColor="text1"/>
        </w:rPr>
      </w:pPr>
      <w:bookmarkStart w:id="0" w:name="_Toc440360839"/>
      <w:bookmarkStart w:id="1" w:name="_Toc440360835"/>
      <w:r w:rsidRPr="00107340">
        <w:rPr>
          <w:color w:val="000000" w:themeColor="text1"/>
        </w:rPr>
        <w:t>电气专业</w:t>
      </w:r>
      <w:bookmarkEnd w:id="1"/>
    </w:p>
    <w:p w:rsidR="00DC4DF0" w:rsidRPr="00107340" w:rsidRDefault="00B27FF2">
      <w:pPr>
        <w:pStyle w:val="2"/>
        <w:rPr>
          <w:color w:val="000000" w:themeColor="text1"/>
        </w:rPr>
      </w:pPr>
      <w:bookmarkStart w:id="2" w:name="_Toc440360836"/>
      <w:r w:rsidRPr="00107340">
        <w:rPr>
          <w:color w:val="000000" w:themeColor="text1"/>
        </w:rPr>
        <w:t xml:space="preserve">6.1 </w:t>
      </w:r>
      <w:r w:rsidRPr="00107340">
        <w:rPr>
          <w:color w:val="000000" w:themeColor="text1"/>
        </w:rPr>
        <w:t>节地与室外环境</w:t>
      </w:r>
      <w:bookmarkEnd w:id="2"/>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室外环境</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6.1.1</w:t>
      </w:r>
      <w:r w:rsidRPr="00107340">
        <w:rPr>
          <w:rFonts w:ascii="Times New Roman" w:hAnsi="Times New Roman" w:cs="Times New Roman"/>
          <w:b/>
          <w:color w:val="000000" w:themeColor="text1"/>
          <w:sz w:val="28"/>
        </w:rPr>
        <w:t>建筑及照明设计避免产生光污染。</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在电气设计说明中对景观照明提出如下要求：室外夜景照明光污染的限制符合现行行业标准《城市夜景照明设计规范》</w:t>
      </w:r>
      <w:r w:rsidRPr="00107340">
        <w:rPr>
          <w:rFonts w:ascii="Times New Roman" w:hAnsi="Times New Roman" w:cs="Times New Roman"/>
          <w:color w:val="000000" w:themeColor="text1"/>
          <w:sz w:val="28"/>
        </w:rPr>
        <w:t xml:space="preserve">JGJ/T 163 </w:t>
      </w:r>
      <w:r w:rsidRPr="00107340">
        <w:rPr>
          <w:rFonts w:ascii="Times New Roman" w:hAnsi="Times New Roman" w:cs="Times New Roman"/>
          <w:color w:val="000000" w:themeColor="text1"/>
          <w:sz w:val="28"/>
        </w:rPr>
        <w:t>的规定。</w:t>
      </w:r>
    </w:p>
    <w:p w:rsidR="00DC4DF0" w:rsidRPr="00107340" w:rsidRDefault="00B27FF2">
      <w:pPr>
        <w:pStyle w:val="2"/>
        <w:rPr>
          <w:color w:val="000000" w:themeColor="text1"/>
        </w:rPr>
      </w:pPr>
      <w:bookmarkStart w:id="3" w:name="_Toc440360837"/>
      <w:r w:rsidRPr="00107340">
        <w:rPr>
          <w:color w:val="000000" w:themeColor="text1"/>
        </w:rPr>
        <w:t xml:space="preserve">6.2 </w:t>
      </w:r>
      <w:r w:rsidRPr="00107340">
        <w:rPr>
          <w:color w:val="000000" w:themeColor="text1"/>
        </w:rPr>
        <w:t>节能与能源利用</w:t>
      </w:r>
      <w:bookmarkEnd w:id="3"/>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6.2.1</w:t>
      </w:r>
      <w:r w:rsidRPr="00107340">
        <w:rPr>
          <w:rFonts w:ascii="Times New Roman" w:hAnsi="Times New Roman" w:cs="Times New Roman"/>
          <w:b/>
          <w:color w:val="000000" w:themeColor="text1"/>
          <w:sz w:val="28"/>
        </w:rPr>
        <w:t>动力、照明、空调等各部分用电能耗应进行独立分项计量。</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电气设计说明、配电系统图、能耗监测系统图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）每个独立的建筑物应设置电能计量装置，应根据需要采用复费率电能表，满足执行峰谷分时电价的要求；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）配电系统应按照动力用电、照明插座用电、空调用电、特殊用电分项供电设计，并宜在以下低压配电柜出线回路设置分项计量表计：</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）变压器低压侧总出线侧；</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）单独计量的外供电回路；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3</w:t>
      </w:r>
      <w:r w:rsidRPr="00107340">
        <w:rPr>
          <w:rFonts w:ascii="Times New Roman" w:hAnsi="Times New Roman" w:cs="Times New Roman"/>
          <w:color w:val="000000" w:themeColor="text1"/>
          <w:sz w:val="28"/>
        </w:rPr>
        <w:t>）特殊区域供电回路；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）制冷机组主供电回路；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）单独供电的冷热源系统附泵主回路；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6</w:t>
      </w:r>
      <w:r w:rsidRPr="00107340">
        <w:rPr>
          <w:rFonts w:ascii="Times New Roman" w:hAnsi="Times New Roman" w:cs="Times New Roman"/>
          <w:color w:val="000000" w:themeColor="text1"/>
          <w:sz w:val="28"/>
        </w:rPr>
        <w:t>）集中供电的分体空调回路；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7</w:t>
      </w:r>
      <w:r w:rsidRPr="00107340">
        <w:rPr>
          <w:rFonts w:ascii="Times New Roman" w:hAnsi="Times New Roman" w:cs="Times New Roman"/>
          <w:color w:val="000000" w:themeColor="text1"/>
          <w:sz w:val="28"/>
        </w:rPr>
        <w:t>）照明插座主回路；（末端配电箱内出线不宜过多设置电能计量表）</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8</w:t>
      </w:r>
      <w:r w:rsidRPr="00107340">
        <w:rPr>
          <w:rFonts w:ascii="Times New Roman" w:hAnsi="Times New Roman" w:cs="Times New Roman"/>
          <w:color w:val="000000" w:themeColor="text1"/>
          <w:sz w:val="28"/>
        </w:rPr>
        <w:t>）电梯回路；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9</w:t>
      </w:r>
      <w:r w:rsidRPr="00107340">
        <w:rPr>
          <w:rFonts w:ascii="Times New Roman" w:hAnsi="Times New Roman" w:cs="Times New Roman"/>
          <w:color w:val="000000" w:themeColor="text1"/>
          <w:sz w:val="28"/>
        </w:rPr>
        <w:t>）其他应单独计量的用电回路。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）个别较分散的容量小于</w:t>
      </w:r>
      <w:r w:rsidRPr="00107340">
        <w:rPr>
          <w:rFonts w:ascii="Times New Roman" w:hAnsi="Times New Roman" w:cs="Times New Roman"/>
          <w:color w:val="000000" w:themeColor="text1"/>
          <w:sz w:val="28"/>
        </w:rPr>
        <w:t>10KW</w:t>
      </w:r>
      <w:r w:rsidRPr="00107340">
        <w:rPr>
          <w:rFonts w:ascii="Times New Roman" w:hAnsi="Times New Roman" w:cs="Times New Roman"/>
          <w:color w:val="000000" w:themeColor="text1"/>
          <w:sz w:val="28"/>
        </w:rPr>
        <w:t>的用电设备可不独立分项计量（如污水泵、卫生间排风机、风机盘管等）；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）办公、公寓式办公或商业的租售单元应以户为单位设置电能计量装置；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）可再生能源发电应设置独立分项电能计量装置；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6</w:t>
      </w:r>
      <w:r w:rsidRPr="00107340">
        <w:rPr>
          <w:rFonts w:ascii="Times New Roman" w:hAnsi="Times New Roman" w:cs="Times New Roman"/>
          <w:color w:val="000000" w:themeColor="text1"/>
          <w:sz w:val="28"/>
        </w:rPr>
        <w:t>）电能计量装置应避免重复设置，应主要在变配电室、楼层配电间、主要设备机房等处设置。</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6.2.2</w:t>
      </w:r>
      <w:r w:rsidRPr="00107340">
        <w:rPr>
          <w:rFonts w:ascii="Times New Roman" w:hAnsi="Times New Roman" w:cs="Times New Roman"/>
          <w:b/>
          <w:color w:val="000000" w:themeColor="text1"/>
          <w:sz w:val="28"/>
        </w:rPr>
        <w:t>各房间或场所的照明功率密度值不得高于现行国家标准《建筑照明设计标准》</w:t>
      </w:r>
      <w:r w:rsidRPr="00107340">
        <w:rPr>
          <w:rFonts w:ascii="Times New Roman" w:hAnsi="Times New Roman" w:cs="Times New Roman"/>
          <w:b/>
          <w:color w:val="000000" w:themeColor="text1"/>
          <w:sz w:val="28"/>
        </w:rPr>
        <w:t xml:space="preserve">GB 50034 </w:t>
      </w:r>
      <w:r w:rsidRPr="00107340">
        <w:rPr>
          <w:rFonts w:ascii="Times New Roman" w:hAnsi="Times New Roman" w:cs="Times New Roman"/>
          <w:b/>
          <w:color w:val="000000" w:themeColor="text1"/>
          <w:sz w:val="28"/>
        </w:rPr>
        <w:t>中的现行值规定。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电气设计说明、照明平面图、照明节能计算书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）电气设计说明应明确各房间或场所的照明功率密度值不高于现行国家标准《建筑照明设计标准》</w:t>
      </w:r>
      <w:r w:rsidRPr="00107340">
        <w:rPr>
          <w:rFonts w:ascii="Times New Roman" w:hAnsi="Times New Roman" w:cs="Times New Roman"/>
          <w:color w:val="000000" w:themeColor="text1"/>
          <w:sz w:val="28"/>
        </w:rPr>
        <w:t>GB 50034</w:t>
      </w:r>
      <w:r w:rsidRPr="00107340">
        <w:rPr>
          <w:rFonts w:ascii="Times New Roman" w:hAnsi="Times New Roman" w:cs="Times New Roman"/>
          <w:color w:val="000000" w:themeColor="text1"/>
          <w:sz w:val="28"/>
        </w:rPr>
        <w:t>规定的现行值；</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）特殊场所可根据现行国家标准《建筑照明设计标准》</w:t>
      </w:r>
      <w:r w:rsidRPr="00107340">
        <w:rPr>
          <w:rFonts w:ascii="Times New Roman" w:hAnsi="Times New Roman" w:cs="Times New Roman"/>
          <w:color w:val="000000" w:themeColor="text1"/>
          <w:sz w:val="28"/>
        </w:rPr>
        <w:t xml:space="preserve">GB </w:t>
      </w:r>
      <w:r w:rsidRPr="00107340">
        <w:rPr>
          <w:rFonts w:ascii="Times New Roman" w:hAnsi="Times New Roman" w:cs="Times New Roman"/>
          <w:color w:val="000000" w:themeColor="text1"/>
          <w:sz w:val="28"/>
        </w:rPr>
        <w:lastRenderedPageBreak/>
        <w:t>50034</w:t>
      </w:r>
      <w:r w:rsidRPr="00107340">
        <w:rPr>
          <w:rFonts w:ascii="Times New Roman" w:hAnsi="Times New Roman" w:cs="Times New Roman"/>
          <w:color w:val="000000" w:themeColor="text1"/>
          <w:sz w:val="28"/>
        </w:rPr>
        <w:t>适当调整相关计算参数；</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）照明节能计算应与设计说明、照明平面图参数一致。照明节能计算范围：居住建筑为毛坯房的公共区域或者精装房的全部区域，公共建筑为全部区域。</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照明与电气</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6.2.3</w:t>
      </w:r>
      <w:r w:rsidRPr="00107340">
        <w:rPr>
          <w:rFonts w:ascii="Times New Roman" w:hAnsi="Times New Roman" w:cs="Times New Roman"/>
          <w:b/>
          <w:color w:val="000000" w:themeColor="text1"/>
          <w:sz w:val="28"/>
        </w:rPr>
        <w:t>走廊、楼梯间、门厅、大堂、大空间、地下停车场等场所的照明系统采取分区、定时、感应等节能控制措施。</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电气设计说明、照明系统图、照明平面图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）在电气设计说明中应说明主要功能区域所选用的灯具类型、照明设计分区原则、节能照明控制方式；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）合理进行照明系统分区设计，应根据自然光利用分区、功能分区、作息差异分区等进行照明设计；</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）具有天然采光的住宅电梯厅、楼梯间，其照明应采取声控、光控、定时控制、感应控制等一种或多种集成的控制装置；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）所有公共区域（走廊、楼梯间、门厅、大堂、大空间、地下停车库等）以及大空间应采取定时、感应的一种或多种结合的节能控制措施，或采取照度调节的节能控制装置。</w:t>
      </w:r>
    </w:p>
    <w:p w:rsidR="00DC4DF0" w:rsidRPr="00107340" w:rsidRDefault="00B27FF2">
      <w:pPr>
        <w:jc w:val="left"/>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6.2.4</w:t>
      </w:r>
      <w:r w:rsidRPr="00107340">
        <w:rPr>
          <w:rFonts w:ascii="Times New Roman" w:hAnsi="Times New Roman" w:cs="Times New Roman"/>
          <w:b/>
          <w:color w:val="000000" w:themeColor="text1"/>
          <w:spacing w:val="46"/>
          <w:kern w:val="0"/>
          <w:sz w:val="28"/>
          <w:fitText w:val="8149" w:id="1"/>
        </w:rPr>
        <w:t>照明功率密度值达到现行国家标准《建筑照明设计标准</w:t>
      </w:r>
      <w:r w:rsidRPr="00107340">
        <w:rPr>
          <w:rFonts w:ascii="Times New Roman" w:hAnsi="Times New Roman" w:cs="Times New Roman"/>
          <w:b/>
          <w:color w:val="000000" w:themeColor="text1"/>
          <w:spacing w:val="18"/>
          <w:kern w:val="0"/>
          <w:sz w:val="28"/>
          <w:fitText w:val="8149" w:id="1"/>
        </w:rPr>
        <w:t>》</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GB 50034 </w:t>
      </w:r>
      <w:r w:rsidRPr="00107340">
        <w:rPr>
          <w:rFonts w:ascii="Times New Roman" w:hAnsi="Times New Roman" w:cs="Times New Roman"/>
          <w:b/>
          <w:color w:val="000000" w:themeColor="text1"/>
          <w:sz w:val="28"/>
        </w:rPr>
        <w:t>中规定的目标值。</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电气设计说明、照明平面图、照明节能计算</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）电气设计说明应明确主要公共区域或所有公共区域的照明功率密度值不高于现行国家标准《建筑照明设计标准》</w:t>
      </w:r>
      <w:r w:rsidRPr="00107340">
        <w:rPr>
          <w:rFonts w:ascii="Times New Roman" w:hAnsi="Times New Roman" w:cs="Times New Roman"/>
          <w:color w:val="000000" w:themeColor="text1"/>
          <w:sz w:val="28"/>
        </w:rPr>
        <w:t>GB 50034</w:t>
      </w:r>
      <w:r w:rsidRPr="00107340">
        <w:rPr>
          <w:rFonts w:ascii="Times New Roman" w:hAnsi="Times New Roman" w:cs="Times New Roman"/>
          <w:color w:val="000000" w:themeColor="text1"/>
          <w:sz w:val="28"/>
        </w:rPr>
        <w:t>规定的目标值；</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）特殊场所可根据现行国家标准《建筑照明设计标准》</w:t>
      </w:r>
      <w:r w:rsidRPr="00107340">
        <w:rPr>
          <w:rFonts w:ascii="Times New Roman" w:hAnsi="Times New Roman" w:cs="Times New Roman"/>
          <w:color w:val="000000" w:themeColor="text1"/>
          <w:sz w:val="28"/>
        </w:rPr>
        <w:t>GB 50034</w:t>
      </w:r>
      <w:r w:rsidRPr="00107340">
        <w:rPr>
          <w:rFonts w:ascii="Times New Roman" w:hAnsi="Times New Roman" w:cs="Times New Roman"/>
          <w:color w:val="000000" w:themeColor="text1"/>
          <w:sz w:val="28"/>
        </w:rPr>
        <w:t>适当调整相关计算参数；</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）照明节能计算应与设计说明、照明平面图参数一致。照明节能计算范围：居住建筑为毛坯房的公共区域或者精装房的全部区域，公共建筑为全部区域。</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6.2.5</w:t>
      </w:r>
      <w:r w:rsidRPr="00107340">
        <w:rPr>
          <w:rFonts w:ascii="Times New Roman" w:hAnsi="Times New Roman" w:cs="Times New Roman"/>
          <w:b/>
          <w:color w:val="000000" w:themeColor="text1"/>
          <w:sz w:val="28"/>
        </w:rPr>
        <w:t>合理选用节能型电气设备。</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pStyle w:val="2"/>
        <w:ind w:firstLineChars="200" w:firstLine="560"/>
        <w:jc w:val="both"/>
        <w:rPr>
          <w:b w:val="0"/>
          <w:color w:val="000000" w:themeColor="text1"/>
        </w:rPr>
      </w:pPr>
      <w:bookmarkStart w:id="4" w:name="_Toc440360838"/>
      <w:r w:rsidRPr="00107340">
        <w:rPr>
          <w:b w:val="0"/>
          <w:color w:val="000000" w:themeColor="text1"/>
        </w:rPr>
        <w:t>（</w:t>
      </w:r>
      <w:r w:rsidRPr="00107340">
        <w:rPr>
          <w:b w:val="0"/>
          <w:color w:val="000000" w:themeColor="text1"/>
        </w:rPr>
        <w:t>1</w:t>
      </w:r>
      <w:r w:rsidRPr="00107340">
        <w:rPr>
          <w:b w:val="0"/>
          <w:color w:val="000000" w:themeColor="text1"/>
        </w:rPr>
        <w:t>）电气设计说明中应注明配电变压器主要技术指标，并满足现行国家标准《三相配电变压器能效限定值及能效等级》</w:t>
      </w:r>
      <w:r w:rsidRPr="00107340">
        <w:rPr>
          <w:b w:val="0"/>
          <w:color w:val="000000" w:themeColor="text1"/>
        </w:rPr>
        <w:t xml:space="preserve">GB 20052 </w:t>
      </w:r>
      <w:r w:rsidRPr="00107340">
        <w:rPr>
          <w:b w:val="0"/>
          <w:color w:val="000000" w:themeColor="text1"/>
        </w:rPr>
        <w:t>规定的节能评价值；</w:t>
      </w:r>
    </w:p>
    <w:p w:rsidR="00DC4DF0" w:rsidRPr="00107340" w:rsidRDefault="00B27FF2">
      <w:pPr>
        <w:pStyle w:val="2"/>
        <w:ind w:firstLineChars="200" w:firstLine="560"/>
        <w:jc w:val="both"/>
        <w:rPr>
          <w:b w:val="0"/>
          <w:color w:val="000000" w:themeColor="text1"/>
        </w:rPr>
      </w:pPr>
      <w:r w:rsidRPr="00107340">
        <w:rPr>
          <w:b w:val="0"/>
          <w:color w:val="000000" w:themeColor="text1"/>
        </w:rPr>
        <w:t>（</w:t>
      </w:r>
      <w:r w:rsidRPr="00107340">
        <w:rPr>
          <w:b w:val="0"/>
          <w:color w:val="000000" w:themeColor="text1"/>
        </w:rPr>
        <w:t>2</w:t>
      </w:r>
      <w:r w:rsidRPr="00107340">
        <w:rPr>
          <w:b w:val="0"/>
          <w:color w:val="000000" w:themeColor="text1"/>
        </w:rPr>
        <w:t>）高、低压配电设备、电气控制设备等应采用通过国家</w:t>
      </w:r>
      <w:r w:rsidRPr="00107340">
        <w:rPr>
          <w:b w:val="0"/>
          <w:color w:val="000000" w:themeColor="text1"/>
        </w:rPr>
        <w:t>3C</w:t>
      </w:r>
      <w:r w:rsidRPr="00107340">
        <w:rPr>
          <w:b w:val="0"/>
          <w:color w:val="000000" w:themeColor="text1"/>
        </w:rPr>
        <w:t>认证的产品，严禁采用淘汰产品。</w:t>
      </w:r>
    </w:p>
    <w:p w:rsidR="00DC4DF0" w:rsidRPr="00107340" w:rsidRDefault="00B27FF2">
      <w:pPr>
        <w:pStyle w:val="2"/>
        <w:rPr>
          <w:color w:val="000000" w:themeColor="text1"/>
        </w:rPr>
      </w:pPr>
      <w:r w:rsidRPr="00107340">
        <w:rPr>
          <w:color w:val="000000" w:themeColor="text1"/>
        </w:rPr>
        <w:t xml:space="preserve">6.3 </w:t>
      </w:r>
      <w:r w:rsidRPr="00107340">
        <w:rPr>
          <w:color w:val="000000" w:themeColor="text1"/>
        </w:rPr>
        <w:t>室内环境质量</w:t>
      </w:r>
      <w:bookmarkEnd w:id="4"/>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lastRenderedPageBreak/>
        <w:t>6.3.1</w:t>
      </w:r>
      <w:r w:rsidRPr="00107340">
        <w:rPr>
          <w:rFonts w:ascii="Times New Roman" w:hAnsi="Times New Roman" w:cs="Times New Roman"/>
          <w:b/>
          <w:color w:val="000000" w:themeColor="text1"/>
          <w:sz w:val="28"/>
        </w:rPr>
        <w:t>建筑照明数量和质量应符合现行国家标准《建筑照明设计标准》</w:t>
      </w:r>
      <w:r w:rsidRPr="00107340">
        <w:rPr>
          <w:rFonts w:ascii="Times New Roman" w:hAnsi="Times New Roman" w:cs="Times New Roman"/>
          <w:b/>
          <w:color w:val="000000" w:themeColor="text1"/>
          <w:sz w:val="28"/>
        </w:rPr>
        <w:t xml:space="preserve">GB 50034 </w:t>
      </w:r>
      <w:r w:rsidRPr="00107340">
        <w:rPr>
          <w:rFonts w:ascii="Times New Roman" w:hAnsi="Times New Roman" w:cs="Times New Roman"/>
          <w:b/>
          <w:color w:val="000000" w:themeColor="text1"/>
          <w:sz w:val="28"/>
        </w:rPr>
        <w:t>的规定。</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电气设计说明、照明平面（住宅公共部分及土建装修一体化的房间）</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）设计说明中应明确主要房间或场所的照度满足《建筑照明设计标准》</w:t>
      </w:r>
      <w:r w:rsidRPr="00107340">
        <w:rPr>
          <w:rFonts w:ascii="Times New Roman" w:hAnsi="Times New Roman" w:cs="Times New Roman"/>
          <w:color w:val="000000" w:themeColor="text1"/>
          <w:sz w:val="28"/>
        </w:rPr>
        <w:t xml:space="preserve">GB 50034-2013 </w:t>
      </w:r>
      <w:r w:rsidRPr="00107340">
        <w:rPr>
          <w:rFonts w:ascii="Times New Roman" w:hAnsi="Times New Roman" w:cs="Times New Roman"/>
          <w:color w:val="000000" w:themeColor="text1"/>
          <w:sz w:val="28"/>
        </w:rPr>
        <w:t>第</w:t>
      </w:r>
      <w:r w:rsidRPr="00107340">
        <w:rPr>
          <w:rFonts w:ascii="Times New Roman" w:hAnsi="Times New Roman" w:cs="Times New Roman"/>
          <w:color w:val="000000" w:themeColor="text1"/>
          <w:sz w:val="28"/>
        </w:rPr>
        <w:t xml:space="preserve"> 4.1.3 </w:t>
      </w:r>
      <w:r w:rsidRPr="00107340">
        <w:rPr>
          <w:rFonts w:ascii="Times New Roman" w:hAnsi="Times New Roman" w:cs="Times New Roman"/>
          <w:color w:val="000000" w:themeColor="text1"/>
          <w:sz w:val="28"/>
        </w:rPr>
        <w:t>条、第</w:t>
      </w:r>
      <w:r w:rsidRPr="00107340">
        <w:rPr>
          <w:rFonts w:ascii="Times New Roman" w:hAnsi="Times New Roman" w:cs="Times New Roman"/>
          <w:color w:val="000000" w:themeColor="text1"/>
          <w:sz w:val="28"/>
        </w:rPr>
        <w:t xml:space="preserve"> 4.1.4 </w:t>
      </w:r>
      <w:r w:rsidRPr="00107340">
        <w:rPr>
          <w:rFonts w:ascii="Times New Roman" w:hAnsi="Times New Roman" w:cs="Times New Roman"/>
          <w:color w:val="000000" w:themeColor="text1"/>
          <w:sz w:val="28"/>
        </w:rPr>
        <w:t>条及第</w:t>
      </w:r>
      <w:r w:rsidRPr="00107340">
        <w:rPr>
          <w:rFonts w:ascii="Times New Roman" w:hAnsi="Times New Roman" w:cs="Times New Roman"/>
          <w:color w:val="000000" w:themeColor="text1"/>
          <w:sz w:val="28"/>
        </w:rPr>
        <w:t xml:space="preserve"> 5 </w:t>
      </w:r>
      <w:r w:rsidRPr="00107340">
        <w:rPr>
          <w:rFonts w:ascii="Times New Roman" w:hAnsi="Times New Roman" w:cs="Times New Roman"/>
          <w:color w:val="000000" w:themeColor="text1"/>
          <w:sz w:val="28"/>
        </w:rPr>
        <w:t>章的相关规定；</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）设计说明中应明确对建筑室内主要功能房间或场所的统一眩光值（</w:t>
      </w:r>
      <w:r w:rsidRPr="00107340">
        <w:rPr>
          <w:rFonts w:ascii="Times New Roman" w:hAnsi="Times New Roman" w:cs="Times New Roman"/>
          <w:color w:val="000000" w:themeColor="text1"/>
          <w:sz w:val="28"/>
        </w:rPr>
        <w:t>UGR</w:t>
      </w:r>
      <w:r w:rsidRPr="00107340">
        <w:rPr>
          <w:rFonts w:ascii="Times New Roman" w:hAnsi="Times New Roman" w:cs="Times New Roman"/>
          <w:color w:val="000000" w:themeColor="text1"/>
          <w:sz w:val="28"/>
        </w:rPr>
        <w:t>）的要求。最大允许值宜符合《建筑照明设计标准》</w:t>
      </w:r>
      <w:r w:rsidRPr="00107340">
        <w:rPr>
          <w:rFonts w:ascii="Times New Roman" w:hAnsi="Times New Roman" w:cs="Times New Roman"/>
          <w:color w:val="000000" w:themeColor="text1"/>
          <w:sz w:val="28"/>
        </w:rPr>
        <w:t xml:space="preserve">GB 50034 </w:t>
      </w:r>
      <w:r w:rsidRPr="00107340">
        <w:rPr>
          <w:rFonts w:ascii="Times New Roman" w:hAnsi="Times New Roman" w:cs="Times New Roman"/>
          <w:color w:val="000000" w:themeColor="text1"/>
          <w:sz w:val="28"/>
        </w:rPr>
        <w:t>第</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章的规定；</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）设计说明中应明确人员长期工作或停留的房间或场所，照明光源的显色指数不应小于</w:t>
      </w:r>
      <w:r w:rsidRPr="00107340">
        <w:rPr>
          <w:rFonts w:ascii="Times New Roman" w:hAnsi="Times New Roman" w:cs="Times New Roman"/>
          <w:color w:val="000000" w:themeColor="text1"/>
          <w:sz w:val="28"/>
        </w:rPr>
        <w:t xml:space="preserve"> 80</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）设计说明中应标明主要功能房间或场所的室内照明光源的色温，且应满足《建筑照明设计标准》</w:t>
      </w:r>
      <w:r w:rsidRPr="00107340">
        <w:rPr>
          <w:rFonts w:ascii="Times New Roman" w:hAnsi="Times New Roman" w:cs="Times New Roman"/>
          <w:color w:val="000000" w:themeColor="text1"/>
          <w:sz w:val="28"/>
        </w:rPr>
        <w:t xml:space="preserve"> GB 50034 </w:t>
      </w:r>
      <w:r w:rsidRPr="00107340">
        <w:rPr>
          <w:rFonts w:ascii="Times New Roman" w:hAnsi="Times New Roman" w:cs="Times New Roman"/>
          <w:color w:val="000000" w:themeColor="text1"/>
          <w:sz w:val="28"/>
        </w:rPr>
        <w:t>表</w:t>
      </w:r>
      <w:r w:rsidRPr="00107340">
        <w:rPr>
          <w:rFonts w:ascii="Times New Roman" w:hAnsi="Times New Roman" w:cs="Times New Roman"/>
          <w:color w:val="000000" w:themeColor="text1"/>
          <w:sz w:val="28"/>
        </w:rPr>
        <w:t xml:space="preserve"> 4.4.1 </w:t>
      </w:r>
      <w:r w:rsidRPr="00107340">
        <w:rPr>
          <w:rFonts w:ascii="Times New Roman" w:hAnsi="Times New Roman" w:cs="Times New Roman"/>
          <w:color w:val="000000" w:themeColor="text1"/>
          <w:sz w:val="28"/>
        </w:rPr>
        <w:t>光源色表分组的规定，并核实相关平面。</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室内空气质量</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6.3.2</w:t>
      </w:r>
      <w:r w:rsidRPr="00107340">
        <w:rPr>
          <w:rFonts w:ascii="Times New Roman" w:hAnsi="Times New Roman" w:cs="Times New Roman"/>
          <w:b/>
          <w:color w:val="000000" w:themeColor="text1"/>
          <w:sz w:val="28"/>
        </w:rPr>
        <w:t>地下车库设置与排风设备联动的一氧化碳浓度监测装置。</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电气设计说明、空气质量监控图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）电气设计说明中应写明地下车库设置了一氧化碳浓度监控装</w:t>
      </w:r>
      <w:r w:rsidRPr="00107340">
        <w:rPr>
          <w:rFonts w:ascii="Times New Roman" w:hAnsi="Times New Roman" w:cs="Times New Roman"/>
          <w:color w:val="000000" w:themeColor="text1"/>
          <w:sz w:val="28"/>
        </w:rPr>
        <w:lastRenderedPageBreak/>
        <w:t>置以及一氧化碳浓度控制范围；</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）地下车库一氧化碳监控平面图（可含在楼控图中）。包括一氧化碳浓度探测设备布置以及与通风设备的联动关系。</w:t>
      </w:r>
      <w:bookmarkEnd w:id="0"/>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C9C" w:rsidRDefault="00B92C9C" w:rsidP="00DC4DF0">
      <w:r>
        <w:separator/>
      </w:r>
    </w:p>
  </w:endnote>
  <w:endnote w:type="continuationSeparator" w:id="0">
    <w:p w:rsidR="00B92C9C" w:rsidRDefault="00B92C9C"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2D4BD8">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2D4BD8">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A5094D">
                  <w:rPr>
                    <w:noProof/>
                    <w:sz w:val="18"/>
                  </w:rPr>
                  <w:t>4</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C9C" w:rsidRDefault="00B92C9C" w:rsidP="00DC4DF0">
      <w:r>
        <w:separator/>
      </w:r>
    </w:p>
  </w:footnote>
  <w:footnote w:type="continuationSeparator" w:id="0">
    <w:p w:rsidR="00B92C9C" w:rsidRDefault="00B92C9C"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C4CB3"/>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4BD8"/>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094D"/>
    <w:rsid w:val="00A541D1"/>
    <w:rsid w:val="00A614C1"/>
    <w:rsid w:val="00A61B27"/>
    <w:rsid w:val="00A6736D"/>
    <w:rsid w:val="00A712B9"/>
    <w:rsid w:val="00A91A8E"/>
    <w:rsid w:val="00A9500B"/>
    <w:rsid w:val="00A96D89"/>
    <w:rsid w:val="00AA3500"/>
    <w:rsid w:val="00AA58E2"/>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2C9C"/>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82F"/>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CD4CC6-4EF5-4182-A783-DC2A5F01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14</cp:revision>
  <cp:lastPrinted>2016-03-30T02:35:00Z</cp:lastPrinted>
  <dcterms:created xsi:type="dcterms:W3CDTF">2016-03-29T01:45:00Z</dcterms:created>
  <dcterms:modified xsi:type="dcterms:W3CDTF">2016-05-04T07:17:00Z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